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عبدالعزيز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توحيد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وأسكنه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فسيح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الحاكمة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ائم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والملك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القليلة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سنسهب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عبدالعزيز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السادس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 1924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عاصمة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العاصي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الشمري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مستفيدا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خبرته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المساجد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ودروس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المطهرة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هواياته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والرماية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تميز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بحنكته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ودهائه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وبصفته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والمعرفة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محطات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العزيز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المهني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وإبان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المناصب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بالمملكة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رئيس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للحرس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السعودي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للخبرة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القبائل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البدو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أظافره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1962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المجاهدين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ونفيس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توحيد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ملحوظا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قيادته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والرشيدة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2013 </w:t>
      </w:r>
      <w:r w:rsidDel="00000000" w:rsidR="00000000" w:rsidRPr="00000000">
        <w:rPr>
          <w:sz w:val="32"/>
          <w:szCs w:val="32"/>
          <w:rtl w:val="1"/>
        </w:rPr>
        <w:t xml:space="preserve">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بتحويل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لوزارة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الأمير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نائبا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لرئيس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مجلس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الوزراء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نائبا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ثانيا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الوزراء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ورئيسا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1975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آنذاك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للأمير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جهيمان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اقتحمت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20 </w:t>
      </w:r>
      <w:r w:rsidDel="00000000" w:rsidR="00000000" w:rsidRPr="00000000">
        <w:rPr>
          <w:sz w:val="32"/>
          <w:szCs w:val="32"/>
          <w:rtl w:val="1"/>
        </w:rPr>
        <w:t xml:space="preserve">تشرين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وقتلت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المعتمرين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وتحصنت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بالمسجد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السفلي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للمسجد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الأمير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للعهد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السعودية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الثالث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1982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تنصيب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النائب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الوزراء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ووليا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للعهد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الأمير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نائبا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المملكة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السعودية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لجلطة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1995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جعلته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عاجزا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وظائفه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تدهور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الإعلان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رسميا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1996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حلفاء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معارضيها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ملكا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للمملكة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السعودية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نصب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الاثنين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 2005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خلفا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وبويع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للعهد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وشهدت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وتطورا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ملحوظا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لمصاف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إنجازات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العزيز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مسيرته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الإنجازات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الشريف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بدخول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بالترشح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للمجالس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البلدية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تنفيذه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لمشروع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الطائف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باستيعاب</w:t>
      </w:r>
      <w:r w:rsidDel="00000000" w:rsidR="00000000" w:rsidRPr="00000000">
        <w:rPr>
          <w:sz w:val="32"/>
          <w:szCs w:val="32"/>
          <w:rtl w:val="1"/>
        </w:rPr>
        <w:t xml:space="preserve"> 130 </w:t>
      </w:r>
      <w:r w:rsidDel="00000000" w:rsidR="00000000" w:rsidRPr="00000000">
        <w:rPr>
          <w:sz w:val="32"/>
          <w:szCs w:val="32"/>
          <w:rtl w:val="1"/>
        </w:rPr>
        <w:t xml:space="preserve">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طائف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بالساعة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بدلا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50 </w:t>
      </w:r>
      <w:r w:rsidDel="00000000" w:rsidR="00000000" w:rsidRPr="00000000">
        <w:rPr>
          <w:sz w:val="32"/>
          <w:szCs w:val="32"/>
          <w:rtl w:val="1"/>
        </w:rPr>
        <w:t xml:space="preserve">ألف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خمسة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قطاعات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أنشأ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للتعدين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والاستثمار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توسيع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سكوبي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الشمالي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وإدراج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بالخطة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توسيع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ليستوعب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حوالي</w:t>
      </w:r>
      <w:r w:rsidDel="00000000" w:rsidR="00000000" w:rsidRPr="00000000">
        <w:rPr>
          <w:sz w:val="32"/>
          <w:szCs w:val="32"/>
          <w:rtl w:val="1"/>
        </w:rPr>
        <w:t xml:space="preserve"> 1,6 </w:t>
      </w:r>
      <w:r w:rsidDel="00000000" w:rsidR="00000000" w:rsidRPr="00000000">
        <w:rPr>
          <w:sz w:val="32"/>
          <w:szCs w:val="32"/>
          <w:rtl w:val="1"/>
        </w:rPr>
        <w:t xml:space="preserve">مليون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تحويل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وزارة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العطلة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والسبت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إنشاء</w:t>
      </w:r>
      <w:r w:rsidDel="00000000" w:rsidR="00000000" w:rsidRPr="00000000">
        <w:rPr>
          <w:sz w:val="32"/>
          <w:szCs w:val="32"/>
          <w:rtl w:val="1"/>
        </w:rPr>
        <w:t xml:space="preserve"> 11 </w:t>
      </w:r>
      <w:r w:rsidDel="00000000" w:rsidR="00000000" w:rsidRPr="00000000">
        <w:rPr>
          <w:sz w:val="32"/>
          <w:szCs w:val="32"/>
          <w:rtl w:val="1"/>
        </w:rPr>
        <w:t xml:space="preserve">استاد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أنحاء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تكاليف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الاحتياجات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الشؤون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تأسيس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مركز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البترولية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محاولة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اغتيال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المخابرات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الليبية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التخطيط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وعشرة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لاغتيال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موكبه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المكرمة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اجهزة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استطاعت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تفكيك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والسيطرة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واحتوائها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القبض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برتبة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الغوش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فنادق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مليون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لأربعة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ضابط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رفيع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لمصر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سلمته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للسعودية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مدنيين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العفو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الاعتقال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والمحاكمة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وفاة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العزيز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23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لعام</w:t>
      </w:r>
      <w:r w:rsidDel="00000000" w:rsidR="00000000" w:rsidRPr="00000000">
        <w:rPr>
          <w:sz w:val="32"/>
          <w:szCs w:val="32"/>
          <w:rtl w:val="1"/>
        </w:rPr>
        <w:t xml:space="preserve"> 2015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ناهز</w:t>
      </w:r>
      <w:r w:rsidDel="00000000" w:rsidR="00000000" w:rsidRPr="00000000">
        <w:rPr>
          <w:sz w:val="32"/>
          <w:szCs w:val="32"/>
          <w:rtl w:val="1"/>
        </w:rPr>
        <w:t xml:space="preserve"> 91 </w:t>
      </w:r>
      <w:r w:rsidDel="00000000" w:rsidR="00000000" w:rsidRPr="00000000">
        <w:rPr>
          <w:sz w:val="32"/>
          <w:szCs w:val="32"/>
          <w:rtl w:val="1"/>
        </w:rPr>
        <w:t xml:space="preserve">عاما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الإعلان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وخلفه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سعود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ودفن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وشارك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تشييع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جثمانه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الزعماء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والقادة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والزعماء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للأمم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للتعزية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مندوبي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التعزية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الجوائز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والأوسمة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العزيز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استحق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الأوسمة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والاستحقاقات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لنشاطاته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المتميزة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الجوائز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النمسا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2004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الجنرال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مارتن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الأرجنتين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الجنوبي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البرازيل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2007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الاستحقاق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إيطاليا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1997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الصداقة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كازخستان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2004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الإبتسامة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بولندا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2005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الذهبي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إسبانيا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2007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عبدالعزيز</w:t>
      </w:r>
    </w:p>
    <w:p w:rsidR="00000000" w:rsidDel="00000000" w:rsidP="00000000" w:rsidRDefault="00000000" w:rsidRPr="00000000" w14:paraId="0000002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وإياكم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لختام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أسهبنا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واسكنهما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فسيح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والمناسبة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وإنجازاته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كبيرا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بإعلاء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المملكة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حب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