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ومازالت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وتعليمهم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ِ</w:t>
      </w:r>
      <w:r w:rsidDel="00000000" w:rsidR="00000000" w:rsidRPr="00000000">
        <w:rPr>
          <w:sz w:val="24"/>
          <w:szCs w:val="24"/>
          <w:rtl w:val="1"/>
        </w:rPr>
        <w:t xml:space="preserve">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أبناءنا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وأتمه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فسنخص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سائلين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وننتفع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سنسمعه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متعاقبة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بعناصرها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وبتلاوة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ٌ ۚ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ۚ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َ}[1].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اص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ـه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ـه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َ}[2].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ُ"[3].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َ؛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َ.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َ"[4].</w:t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….، </w:t>
      </w:r>
      <w:r w:rsidDel="00000000" w:rsidR="00000000" w:rsidRPr="00000000">
        <w:rPr>
          <w:rtl w:val="1"/>
        </w:rPr>
        <w:t xml:space="preserve">أترككم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أساتذتنا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المبجلين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زميلاتي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فاحمدوا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وأطيعوا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يصومونه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للدعوة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تاسوعاء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يسبقه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وأغرقه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جيشه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شوراء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يصومونه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ومستحبات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36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194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1424، 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 2006،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