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مكتوبة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النحر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أوقاتها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بدءا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المذكور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الشرعية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حر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الجوامع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وتذكيرهم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المترتب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والعبادة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اليومين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مكتوبة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النحر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بلغنا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أوحى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الجاهلين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الضالين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ونعوذ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أنفسنا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وسيئات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عبده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ورسوله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مكتوبة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النحر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المؤمنين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خطبتين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ويتعمق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مستشهدا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بالنصوص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والأحاديث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وتنتهي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والتضرع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وعناصرها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كالآتي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النحر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لغفور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أعطى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والكريم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مغفرة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الذنوب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والجلالة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ملائكة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تعتق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الرقاب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وبارئها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الرسول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ائ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ُ: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ِ؟"[1]، </w:t>
      </w:r>
      <w:r w:rsidDel="00000000" w:rsidR="00000000" w:rsidRPr="00000000">
        <w:rPr>
          <w:rtl w:val="1"/>
        </w:rPr>
        <w:t xml:space="preserve">فاانظروا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وانظروا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موقفهم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وفضله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الواقفين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وديارهم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استغل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العبادات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أجزاه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أضعاف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مضاعفة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وواعظها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صوم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كف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ارة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الماض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ستقب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لة</w:t>
      </w:r>
      <w:r w:rsidDel="00000000" w:rsidR="00000000" w:rsidRPr="00000000">
        <w:rPr>
          <w:rtl w:val="1"/>
        </w:rPr>
        <w:t xml:space="preserve">ِ"[2]، </w:t>
      </w:r>
      <w:r w:rsidDel="00000000" w:rsidR="00000000" w:rsidRPr="00000000">
        <w:rPr>
          <w:rtl w:val="1"/>
        </w:rPr>
        <w:t xml:space="preserve">ولشدة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ود</w:t>
      </w:r>
      <w:r w:rsidDel="00000000" w:rsidR="00000000" w:rsidRPr="00000000">
        <w:rPr>
          <w:rtl w:val="1"/>
        </w:rPr>
        <w:t xml:space="preserve">ٍ}[3]، </w:t>
      </w:r>
      <w:r w:rsidDel="00000000" w:rsidR="00000000" w:rsidRPr="00000000">
        <w:rPr>
          <w:rtl w:val="1"/>
        </w:rPr>
        <w:t xml:space="preserve">والشاهد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الجمعة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والمشهود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واقفين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فسألوا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ينالون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وأسغتفر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الغفور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الثانية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النحر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B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وملائكته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تسليما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وسبحوا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وأصيلا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وتذكروا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ووفقنا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هديتنا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C">
      <w:pPr>
        <w:bidi w:val="1"/>
        <w:rPr>
          <w:b w:val="1"/>
        </w:rPr>
      </w:pPr>
      <w:r w:rsidDel="00000000" w:rsidR="00000000" w:rsidRPr="00000000">
        <w:rPr>
          <w:rtl w:val="1"/>
        </w:rPr>
        <w:t xml:space="preserve">فاعلموا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الأكبر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ِ}[4]،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يكتمل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أركانه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ومناسكه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بمزلفة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ينقضوا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بعرفة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ودعاؤه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الإسفار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جمرة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العقبة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ويبدؤون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التكبير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والتلبية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شعيرتان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عظيمتان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ظاهرتان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ذبح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الضحايا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قربى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الحجاج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إحرامهم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ويطوفون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العتيق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ويسع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الصفا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والمروة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فنسأل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ينالون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دعاء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مكتوبة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النحر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E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اد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اع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َ}[5]، </w:t>
      </w:r>
      <w:r w:rsidDel="00000000" w:rsidR="00000000" w:rsidRPr="00000000">
        <w:rPr>
          <w:rtl w:val="1"/>
        </w:rPr>
        <w:t xml:space="preserve">فادعوا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وألحوا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فأمنوا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آت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آخ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ِ.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ربنا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المخلصين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التائبين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الطامعين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وعفوك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أعتابك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خائبين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ربنا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أكرمنا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أكرمت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بالوقوف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واجعلنا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تباهي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ملائكة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الخاشعين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يديك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ربنا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اقبلنا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الفضيلة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حجاجنا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وأضاحي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المسلمين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مقبلين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وآخر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دعوانا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وأصحابه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خطبة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مكتوبة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فضل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عرفة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ويوم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النحر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الد</w:t>
      </w:r>
      <w:r w:rsidDel="00000000" w:rsidR="00000000" w:rsidRPr="00000000">
        <w:rPr>
          <w:rtl w:val="1"/>
        </w:rPr>
        <w:t xml:space="preserve">ُّ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لد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آخ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ِّ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َّ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َ}[6]، </w:t>
      </w:r>
      <w:r w:rsidDel="00000000" w:rsidR="00000000" w:rsidRPr="00000000">
        <w:rPr>
          <w:rtl w:val="1"/>
        </w:rPr>
        <w:t xml:space="preserve">فاعملوا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صالحا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تقابلون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تبعثون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واغتنموا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غافلين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صالحا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فزتم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الميعاد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غفلتم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الخاسرين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فأقيموا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وآتوا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الزكاة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وأكثروا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الإحسان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والصدقات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وأكثروا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والتهليل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تضج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وأستغفر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وأثابكم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1A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مسلم</w:t>
      </w:r>
    </w:p>
    <w:p w:rsidR="00000000" w:rsidDel="00000000" w:rsidP="00000000" w:rsidRDefault="00000000" w:rsidRPr="00000000" w14:paraId="0000001B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عائشة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المؤمنين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مسلم</w:t>
      </w:r>
      <w:r w:rsidDel="00000000" w:rsidR="00000000" w:rsidRPr="00000000">
        <w:rPr>
          <w:rtl w:val="1"/>
        </w:rPr>
        <w:t xml:space="preserve">، 1348،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1D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الجامع</w:t>
      </w:r>
    </w:p>
    <w:p w:rsidR="00000000" w:rsidDel="00000000" w:rsidP="00000000" w:rsidRDefault="00000000" w:rsidRPr="00000000" w14:paraId="0000001E">
      <w:pPr>
        <w:bidi w:val="1"/>
        <w:spacing w:line="276" w:lineRule="auto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الخدري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، 3805،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البروج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3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التوبة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3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البقرة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186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0"/>
        </w:rPr>
        <w:t xml:space="preserve">6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الأنعام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32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3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1"/>
        </w:rPr>
        <w:t xml:space="preserve">يربط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النحر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