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خص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مأجورة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ينبري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ليحثوا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والاضحية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لصراطه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والثناء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المأمومين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وينهيها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والتضرع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وتفاصيلها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ولطيف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متفرقة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التائبين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والراضخين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لمشيئته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ود</w:t>
      </w:r>
      <w:r w:rsidDel="00000000" w:rsidR="00000000" w:rsidRPr="00000000">
        <w:rPr>
          <w:rtl w:val="1"/>
        </w:rPr>
        <w:t xml:space="preserve">ٍ}[1]،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يذكرون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ويستغفرونه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ويدعونه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ويتضرعون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ِ؟"[2]، </w:t>
      </w:r>
      <w:r w:rsidDel="00000000" w:rsidR="00000000" w:rsidRPr="00000000">
        <w:rPr>
          <w:rtl w:val="1"/>
        </w:rPr>
        <w:t xml:space="preserve">فسبحان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يقبعون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مغربها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وتقربا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ستقب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لة</w:t>
      </w:r>
      <w:r w:rsidDel="00000000" w:rsidR="00000000" w:rsidRPr="00000000">
        <w:rPr>
          <w:rtl w:val="1"/>
        </w:rPr>
        <w:t xml:space="preserve">ِ"[3]، </w:t>
      </w:r>
      <w:r w:rsidDel="00000000" w:rsidR="00000000" w:rsidRPr="00000000">
        <w:rPr>
          <w:rtl w:val="1"/>
        </w:rPr>
        <w:t xml:space="preserve">فاللهم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وأسغتفر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يعظكم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تهتدون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</w:p>
    <w:p w:rsidR="00000000" w:rsidDel="00000000" w:rsidP="00000000" w:rsidRDefault="00000000" w:rsidRPr="00000000" w14:paraId="0000000A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وسبحوا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ووفقنا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هديتنا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فاعلموا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تكتمل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متممات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بمزلفة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الذاكرين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والمهللين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والمكبرين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والداعين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والمتضرعين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وطواف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وسعيهم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المغفرة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شريق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وشرب</w:t>
      </w:r>
      <w:r w:rsidDel="00000000" w:rsidR="00000000" w:rsidRPr="00000000">
        <w:rPr>
          <w:rtl w:val="1"/>
        </w:rPr>
        <w:t xml:space="preserve">ٍ"[4]، </w:t>
      </w:r>
      <w:r w:rsidDel="00000000" w:rsidR="00000000" w:rsidRPr="00000000">
        <w:rPr>
          <w:rtl w:val="1"/>
        </w:rPr>
        <w:t xml:space="preserve">فمع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</w:p>
    <w:p w:rsidR="00000000" w:rsidDel="00000000" w:rsidP="00000000" w:rsidRDefault="00000000" w:rsidRPr="00000000" w14:paraId="0000000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َ}[5]، </w:t>
      </w:r>
      <w:r w:rsidDel="00000000" w:rsidR="00000000" w:rsidRPr="00000000">
        <w:rPr>
          <w:rtl w:val="1"/>
        </w:rPr>
        <w:t xml:space="preserve">فاغتنموا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وارفعوا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وادعوا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بركاتك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واجعلما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يموتون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أكرمنا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وتمحو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السيئات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سيئاتهم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بالحسنات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الغافلين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والغفران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ورحمته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}[6]، </w:t>
      </w:r>
      <w:r w:rsidDel="00000000" w:rsidR="00000000" w:rsidRPr="00000000">
        <w:rPr>
          <w:rtl w:val="1"/>
        </w:rPr>
        <w:t xml:space="preserve">فاغتنموا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فتصبحوا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غفلتم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وانكبوا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والصدقات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وهللوا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البروج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1C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</w:p>
    <w:p w:rsidR="00000000" w:rsidDel="00000000" w:rsidP="00000000" w:rsidRDefault="00000000" w:rsidRPr="00000000" w14:paraId="0000001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عائشة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، 1348،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0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</w:p>
    <w:p w:rsidR="00000000" w:rsidDel="00000000" w:rsidP="00000000" w:rsidRDefault="00000000" w:rsidRPr="00000000" w14:paraId="00000021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3805،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عقبة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المصدر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الصفحة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: 2419 | </w:t>
      </w:r>
      <w:r w:rsidDel="00000000" w:rsidR="00000000" w:rsidRPr="00000000">
        <w:rPr>
          <w:rtl w:val="1"/>
        </w:rPr>
        <w:t xml:space="preserve">خلاصة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المحدث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الزلزلة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8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4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يمرر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بولد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والاضحية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