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لمرضاته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بجنته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اصطفانا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المغضوب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نستهديه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ونستغفره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وينهيها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موزعة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ينصرفوا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ويذكرهم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ووعيده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يظهرها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ُ}[1]، </w:t>
      </w:r>
      <w:r w:rsidDel="00000000" w:rsidR="00000000" w:rsidRPr="00000000">
        <w:rPr>
          <w:rtl w:val="1"/>
        </w:rPr>
        <w:t xml:space="preserve">والأشهر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ٍ}[2]، </w:t>
      </w:r>
      <w:r w:rsidDel="00000000" w:rsidR="00000000" w:rsidRPr="00000000">
        <w:rPr>
          <w:rtl w:val="1"/>
        </w:rPr>
        <w:t xml:space="preserve">واعلموا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فتنبهوا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ملائكة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فيقول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انظ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جاءوني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"[3]،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الخليل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النحر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ِّ"[4]،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ُ"[5]، </w:t>
      </w:r>
      <w:r w:rsidDel="00000000" w:rsidR="00000000" w:rsidRPr="00000000">
        <w:rPr>
          <w:rtl w:val="1"/>
        </w:rPr>
        <w:t xml:space="preserve">فنسأل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فازوا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وسبحوا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السباقين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والتزموا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فاتبعوا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واستعينوا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أعمالها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عظ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ِ؛ </w:t>
      </w:r>
      <w:r w:rsidDel="00000000" w:rsidR="00000000" w:rsidRPr="00000000">
        <w:rPr>
          <w:rtl w:val="1"/>
        </w:rPr>
        <w:t xml:space="preserve">فأ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كث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هليل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حميد</w:t>
      </w:r>
      <w:r w:rsidDel="00000000" w:rsidR="00000000" w:rsidRPr="00000000">
        <w:rPr>
          <w:rtl w:val="1"/>
        </w:rPr>
        <w:t xml:space="preserve">ِ"[6]،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أصقاع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ويثاب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لحرمة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أزواج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يصوم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تسع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وثلاثة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اثنين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والخميس</w:t>
      </w:r>
      <w:r w:rsidDel="00000000" w:rsidR="00000000" w:rsidRPr="00000000">
        <w:rPr>
          <w:rtl w:val="1"/>
        </w:rPr>
        <w:t xml:space="preserve">َ"[7]،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تخرموا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وسارعوا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</w:p>
    <w:p w:rsidR="00000000" w:rsidDel="00000000" w:rsidP="00000000" w:rsidRDefault="00000000" w:rsidRPr="00000000" w14:paraId="0000000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َ}[8]،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اهد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وعاف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وتو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وبار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المتقربين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والمضحين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مبرور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وسعيا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لديارك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ولمغفرتك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ميسور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مغفور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</w:pP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1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وتعلنون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ومطلعكم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}[9]، </w:t>
      </w:r>
      <w:r w:rsidDel="00000000" w:rsidR="00000000" w:rsidRPr="00000000">
        <w:rPr>
          <w:rtl w:val="1"/>
        </w:rPr>
        <w:t xml:space="preserve">فأكثروا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وسارعوا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والتكبيرات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والتهليلات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36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2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الترغيب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1132،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السيوطي</w:t>
      </w:r>
      <w:r w:rsidDel="00000000" w:rsidR="00000000" w:rsidRPr="00000000">
        <w:rPr>
          <w:rtl w:val="1"/>
        </w:rPr>
        <w:t xml:space="preserve">، 1174،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1773،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تخريج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المسند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شعيب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الأرناؤوط</w:t>
      </w:r>
      <w:r w:rsidDel="00000000" w:rsidR="00000000" w:rsidRPr="00000000">
        <w:rPr>
          <w:rtl w:val="1"/>
        </w:rPr>
        <w:t xml:space="preserve">، 5446،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أزواج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2437،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105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