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وخاتمة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فالحج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كالمدرسة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مكتملة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الحج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أرسله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اليقين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نبتدأ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بتوفيق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نبتغيه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فرائضه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وتعليمها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وتذكيرهم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الفرائض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وامتثال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الفائزين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بجنته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الموعودة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الصادقين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الفرائض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فدعونا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المجتهدين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الفريضة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ملؤها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نبدأها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بأطهر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بتحضيره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نسردها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الفرائض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بصوته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العذب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{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ٌ ۚ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ِّ ۗ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ۗ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الز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ٰ ۚ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 *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اح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ۚ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اذ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ِ ۖ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اذ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*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يض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اض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ۚ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ٌ *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اذ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آب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ۗ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اق</w:t>
      </w:r>
      <w:r w:rsidDel="00000000" w:rsidR="00000000" w:rsidRPr="00000000">
        <w:rPr>
          <w:rtl w:val="1"/>
        </w:rPr>
        <w:t xml:space="preserve">ٍ 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 *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َٰ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ۚ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ِ}[1]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الشريف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ومناسكه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الأع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ُ؟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َ: </w:t>
      </w:r>
      <w:r w:rsidDel="00000000" w:rsidR="00000000" w:rsidRPr="00000000">
        <w:rPr>
          <w:rtl w:val="1"/>
        </w:rPr>
        <w:t xml:space="preserve">إيم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بالل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َ: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َ: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َ: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َ: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ٌ"[2]،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ُ: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ْ، 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ْ،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ُ"[3]،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تاب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والعمرة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الفقر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والذ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نوب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كير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خبث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الحديد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والذ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والفض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للحج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المبرور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ثواب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الجن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ِ"[4]،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ُ"[5]،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هاد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عيف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والمرأة</w:t>
      </w:r>
      <w:r w:rsidDel="00000000" w:rsidR="00000000" w:rsidRPr="00000000">
        <w:rPr>
          <w:rtl w:val="1"/>
        </w:rPr>
        <w:t xml:space="preserve">ِ: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والع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ُ"[6]،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دعونا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سبيلا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أشواط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ومقداره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أشواط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حكمة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الفرائض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أوجبها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تفسح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ويلبس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متجردا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زخارف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وزينتها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طاهرا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يتساوى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والفقير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الأبيض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والمحروم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بالآخرة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السفر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أسفاره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الأسفار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وإنابة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والت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فر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واطو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احب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فر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والخليفة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اصح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فاخل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آي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الأح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ُ.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وإلى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بتحضير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أنصفتها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وأغنت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الفريضة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وعززت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وحكمته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يتمتعون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ويمنحنا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طاهرين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والخطايا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وتائبين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لوجهه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الخاتمة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197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202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، 1519،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، 1521،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النسائي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2630،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، 1773،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النسائي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2625،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عائشة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المفتاحية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يعامل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كمفتاحية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والخاتمة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الترويسات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ترويساتك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